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46EE" w14:textId="381329E8" w:rsidR="00EB78AA" w:rsidRPr="00EB78AA" w:rsidRDefault="00EB78AA" w:rsidP="00EB78AA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4A68E9">
        <w:rPr>
          <w:rFonts w:eastAsia="Times New Roman" w:cs="Times New Roman"/>
          <w:szCs w:val="28"/>
          <w:lang w:eastAsia="ru-RU"/>
        </w:rPr>
        <w:t>Приложение 4</w:t>
      </w:r>
      <w:bookmarkStart w:id="0" w:name="_GoBack"/>
      <w:bookmarkEnd w:id="0"/>
    </w:p>
    <w:p w14:paraId="34814971" w14:textId="20437F31" w:rsidR="00167E64" w:rsidRDefault="00167E64" w:rsidP="00167E64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67E64">
        <w:rPr>
          <w:rFonts w:eastAsia="Times New Roman" w:cs="Times New Roman"/>
          <w:b/>
          <w:bCs/>
          <w:szCs w:val="28"/>
          <w:lang w:eastAsia="ru-RU"/>
        </w:rPr>
        <w:t>Финансовые услуги группы РЭЦ</w:t>
      </w:r>
    </w:p>
    <w:p w14:paraId="439FF9BD" w14:textId="6B3CA205" w:rsidR="00167E64" w:rsidRDefault="00167E64" w:rsidP="00167E64">
      <w:pPr>
        <w:rPr>
          <w:rFonts w:eastAsia="Times New Roman" w:cs="Times New Roman"/>
          <w:b/>
          <w:bCs/>
          <w:szCs w:val="28"/>
          <w:lang w:eastAsia="ru-RU"/>
        </w:rPr>
      </w:pPr>
    </w:p>
    <w:p w14:paraId="620D398A" w14:textId="49F65181" w:rsidR="00167E64" w:rsidRPr="0003221C" w:rsidRDefault="00BA4FFC" w:rsidP="00BA4FFC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7C2CD9">
        <w:rPr>
          <w:rFonts w:eastAsia="Times New Roman" w:cs="Times New Roman"/>
          <w:b/>
          <w:bCs/>
          <w:szCs w:val="28"/>
          <w:u w:val="single"/>
          <w:lang w:eastAsia="ru-RU"/>
        </w:rPr>
        <w:t>Кредитная поддержка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167E64" w:rsidRPr="0003221C">
        <w:rPr>
          <w:rFonts w:eastAsia="Times New Roman" w:cs="Times New Roman"/>
          <w:szCs w:val="28"/>
          <w:lang w:eastAsia="ru-RU"/>
        </w:rPr>
        <w:t xml:space="preserve">Коммерческий кредит от </w:t>
      </w:r>
      <w:proofErr w:type="spellStart"/>
      <w:r w:rsidR="00643556" w:rsidRPr="0003221C">
        <w:rPr>
          <w:rFonts w:eastAsia="Times New Roman" w:cs="Times New Roman"/>
          <w:szCs w:val="28"/>
          <w:lang w:eastAsia="ru-RU"/>
        </w:rPr>
        <w:t>Росэксимбанка</w:t>
      </w:r>
      <w:proofErr w:type="spellEnd"/>
      <w:r w:rsidR="00643556" w:rsidRPr="0003221C">
        <w:rPr>
          <w:rFonts w:eastAsia="Times New Roman" w:cs="Times New Roman"/>
          <w:szCs w:val="28"/>
          <w:lang w:eastAsia="ru-RU"/>
        </w:rPr>
        <w:t xml:space="preserve"> </w:t>
      </w:r>
      <w:r w:rsidR="00643556">
        <w:rPr>
          <w:rFonts w:eastAsia="Times New Roman" w:cs="Times New Roman"/>
          <w:szCs w:val="28"/>
          <w:lang w:eastAsia="ru-RU"/>
        </w:rPr>
        <w:t>(</w:t>
      </w:r>
      <w:r w:rsidR="00167E64" w:rsidRPr="0003221C">
        <w:rPr>
          <w:rFonts w:eastAsia="Times New Roman" w:cs="Times New Roman"/>
          <w:szCs w:val="28"/>
          <w:lang w:eastAsia="ru-RU"/>
        </w:rPr>
        <w:t>АО «Российский экспортно-импортный банк»)</w:t>
      </w:r>
    </w:p>
    <w:p w14:paraId="1A2752E9" w14:textId="3E6784CA" w:rsidR="00167E64" w:rsidRPr="00A9491C" w:rsidRDefault="00167E64" w:rsidP="00A9491C">
      <w:pPr>
        <w:pStyle w:val="a3"/>
        <w:numPr>
          <w:ilvl w:val="1"/>
          <w:numId w:val="2"/>
        </w:numPr>
        <w:rPr>
          <w:rFonts w:eastAsia="Times New Roman" w:cs="Times New Roman"/>
          <w:szCs w:val="28"/>
          <w:lang w:eastAsia="ru-RU"/>
        </w:rPr>
      </w:pPr>
      <w:r w:rsidRPr="000322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221C">
        <w:rPr>
          <w:rFonts w:eastAsia="Times New Roman" w:cs="Times New Roman"/>
          <w:szCs w:val="28"/>
          <w:lang w:eastAsia="ru-RU"/>
        </w:rPr>
        <w:t>Предэкспортное</w:t>
      </w:r>
      <w:proofErr w:type="spellEnd"/>
      <w:r w:rsidRPr="0003221C">
        <w:rPr>
          <w:rFonts w:eastAsia="Times New Roman" w:cs="Times New Roman"/>
          <w:szCs w:val="28"/>
          <w:lang w:eastAsia="ru-RU"/>
        </w:rPr>
        <w:t xml:space="preserve"> финансирование:</w:t>
      </w: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049"/>
      </w:tblGrid>
      <w:tr w:rsidR="00167E64" w:rsidRPr="00167E64" w14:paraId="1B1E6BE0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BDA4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Цель финансирования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3058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Оплата расходов по экспортному контракту.</w:t>
            </w:r>
          </w:p>
        </w:tc>
      </w:tr>
      <w:tr w:rsidR="00167E64" w:rsidRPr="00167E64" w14:paraId="611A0F00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23EC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Сумма финансирования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3BC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В сумме подтвержденных расходов, но обычно не более 85% общей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стоимости экспортного контракта, для сегмента МСП – не более 80%.</w:t>
            </w:r>
          </w:p>
        </w:tc>
      </w:tr>
      <w:tr w:rsidR="00167E64" w:rsidRPr="00167E64" w14:paraId="55CF3AD3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6F02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Источник погашения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ACF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Оплата по экспортному контракту.</w:t>
            </w:r>
          </w:p>
        </w:tc>
      </w:tr>
      <w:tr w:rsidR="00167E64" w:rsidRPr="00167E64" w14:paraId="68402962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044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Срок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2B7D" w14:textId="44EE39C6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Соответствует сроку производства и оплаты по экспортному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контракту, не более 5 лет. Для сегмента МСП – не более 2 лет.</w:t>
            </w:r>
          </w:p>
        </w:tc>
      </w:tr>
      <w:tr w:rsidR="00167E64" w:rsidRPr="00167E64" w14:paraId="3AC6D373" w14:textId="77777777" w:rsidTr="00DA13C2">
        <w:trPr>
          <w:trHeight w:val="27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7FAE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Экспортный контракт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D8FA" w14:textId="4121AB3E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Должен предусматривать обязательства иностранного покупателя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возместить убытки экспортеру в случае отказа от исполнения</w:t>
            </w:r>
            <w:r w:rsidR="007D758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экспортного контракта, возможность уступки прав требования на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получение выручки по контракту. Доля российской составляющей</w:t>
            </w:r>
            <w:r w:rsidR="007D758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(стоимость сырья, материалов, комплектующих, работ и услуг,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произведенных на территории Российской Федерации) в общей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стоимости экспортного контракта – не менее 30 %. Должен быть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поставлен на учет в банке-кредиторе.</w:t>
            </w:r>
          </w:p>
        </w:tc>
      </w:tr>
      <w:tr w:rsidR="00167E64" w:rsidRPr="00167E64" w14:paraId="5B209585" w14:textId="77777777" w:rsidTr="00DA13C2">
        <w:trPr>
          <w:trHeight w:val="16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C5E8" w14:textId="202DF582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требования к</w:t>
            </w:r>
            <w:r w:rsid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заемщику для получения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B09" w14:textId="6EEEDF22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Отсутствие риска предъявления требований кредиторов, которые не</w:t>
            </w:r>
            <w:r w:rsidR="007D758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позволят использовать платежи по экспортному контракту в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погашение кредита.</w:t>
            </w:r>
          </w:p>
        </w:tc>
      </w:tr>
      <w:tr w:rsidR="00167E64" w:rsidRPr="00167E64" w14:paraId="5F75A415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F393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Обеспечение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033B" w14:textId="302776B0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Залог прав требований по экспортному контракту, страхование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кредита в АО «ЭКСАР», для МСП + поручительство собственника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бизнеса.</w:t>
            </w:r>
          </w:p>
        </w:tc>
      </w:tr>
      <w:tr w:rsidR="00167E64" w:rsidRPr="00167E64" w14:paraId="58A78308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9591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Дополнительные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расходы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0A4" w14:textId="52E0AEAE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Страхование производственного риска по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экспортному контракту,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страхование кредита на пополнение оборотных сред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ств.</w:t>
            </w:r>
          </w:p>
        </w:tc>
      </w:tr>
    </w:tbl>
    <w:p w14:paraId="28F63244" w14:textId="4BBD4C0D" w:rsidR="0003221C" w:rsidRDefault="0003221C" w:rsidP="00167E64">
      <w:pPr>
        <w:rPr>
          <w:rFonts w:eastAsia="Times New Roman" w:cs="Times New Roman"/>
          <w:szCs w:val="28"/>
          <w:lang w:eastAsia="ru-RU"/>
        </w:rPr>
      </w:pPr>
    </w:p>
    <w:p w14:paraId="41328B51" w14:textId="77777777" w:rsidR="00606152" w:rsidRDefault="00606152" w:rsidP="00167E64">
      <w:pPr>
        <w:rPr>
          <w:rFonts w:eastAsia="Times New Roman" w:cs="Times New Roman"/>
          <w:szCs w:val="28"/>
          <w:lang w:eastAsia="ru-RU"/>
        </w:rPr>
      </w:pPr>
    </w:p>
    <w:p w14:paraId="79A03850" w14:textId="4E4A65A3" w:rsidR="00167E64" w:rsidRDefault="00167E64" w:rsidP="00167E64">
      <w:pPr>
        <w:pStyle w:val="a3"/>
        <w:numPr>
          <w:ilvl w:val="1"/>
          <w:numId w:val="2"/>
        </w:num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67E64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ост</w:t>
      </w:r>
      <w:r w:rsidRPr="00167E64">
        <w:rPr>
          <w:rFonts w:eastAsia="Times New Roman" w:cs="Times New Roman"/>
          <w:szCs w:val="28"/>
          <w:lang w:eastAsia="ru-RU"/>
        </w:rPr>
        <w:t>экспортное</w:t>
      </w:r>
      <w:proofErr w:type="spellEnd"/>
      <w:r w:rsidRPr="00167E64">
        <w:rPr>
          <w:rFonts w:eastAsia="Times New Roman" w:cs="Times New Roman"/>
          <w:szCs w:val="28"/>
          <w:lang w:eastAsia="ru-RU"/>
        </w:rPr>
        <w:t xml:space="preserve"> финансирование:</w:t>
      </w: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2021"/>
      </w:tblGrid>
      <w:tr w:rsidR="00167E64" w:rsidRPr="00167E64" w14:paraId="14C322CC" w14:textId="77777777" w:rsidTr="00DA13C2">
        <w:trPr>
          <w:trHeight w:val="63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8677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Цель финансирования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75A5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Финансирование оплаты по экспортному контракту.</w:t>
            </w:r>
          </w:p>
        </w:tc>
      </w:tr>
      <w:tr w:rsidR="00167E64" w:rsidRPr="00167E64" w14:paraId="0FCF796D" w14:textId="77777777" w:rsidTr="00DA13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9626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Сумма финансирования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DF76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До 85% суммы инвойса (счета).</w:t>
            </w:r>
          </w:p>
        </w:tc>
      </w:tr>
      <w:tr w:rsidR="00167E64" w:rsidRPr="00167E64" w14:paraId="47D2ECA9" w14:textId="77777777" w:rsidTr="00DA13C2">
        <w:trPr>
          <w:trHeight w:val="79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0FFC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Источник погашения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F1AB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Оплата по экспортному контракту.</w:t>
            </w:r>
          </w:p>
        </w:tc>
      </w:tr>
      <w:tr w:rsidR="00167E64" w:rsidRPr="00167E64" w14:paraId="59DC973C" w14:textId="77777777" w:rsidTr="00DA13C2">
        <w:trPr>
          <w:trHeight w:val="8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EA70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Срок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7266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Соответствует отсрочке оплаты по экспортному контракту+ 30 дней.</w:t>
            </w:r>
          </w:p>
        </w:tc>
      </w:tr>
      <w:tr w:rsidR="00167E64" w:rsidRPr="00167E64" w14:paraId="47E21CA3" w14:textId="77777777" w:rsidTr="00CA21D4">
        <w:trPr>
          <w:trHeight w:val="268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C404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Экспортный контракт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CAE2" w14:textId="7E3E704B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Должен устанавливать действительные 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неоспоримые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обязательства иностранного покупателя по оплате товара с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момента перехода права собственности, возможность залога прав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требования на получение выручки по экспортному контракту. Доля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российской составляющей (стоимость сырья, материалов,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комплектующих, работ и услуг, произведенных на территории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Российской Федерации) в общей стоимости экспортного контракта –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не менее 30 %. Должен быть поставлен на учет в банке-кредиторе.</w:t>
            </w:r>
          </w:p>
        </w:tc>
      </w:tr>
      <w:tr w:rsidR="00167E64" w:rsidRPr="00167E64" w14:paraId="063A4C9C" w14:textId="77777777" w:rsidTr="00DA13C2">
        <w:trPr>
          <w:trHeight w:val="216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7F91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требования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к заёмщику для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получения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BC29" w14:textId="671CF3C1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Отсутствие риска предъявления требований кредиторов, которые</w:t>
            </w:r>
            <w:r w:rsidR="005825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не позволят использовать платежи по экспортному контракту в</w:t>
            </w:r>
            <w:r w:rsidR="005825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погашение кредита.</w:t>
            </w:r>
          </w:p>
        </w:tc>
      </w:tr>
      <w:tr w:rsidR="00167E64" w:rsidRPr="00167E64" w14:paraId="3B1B6658" w14:textId="77777777" w:rsidTr="00DA13C2">
        <w:trPr>
          <w:trHeight w:val="1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CBD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Обеспечение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5DBF" w14:textId="77777777" w:rsidR="00167E64" w:rsidRPr="00167E64" w:rsidRDefault="00167E64" w:rsidP="00167E6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t>Залог прав денежных требований по экспортному контракту, иное</w:t>
            </w:r>
            <w:r w:rsidRPr="00167E64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обеспечение страхование экспортного контракта в АО «ЭКСАР».</w:t>
            </w:r>
          </w:p>
        </w:tc>
      </w:tr>
    </w:tbl>
    <w:p w14:paraId="434643B4" w14:textId="484F461C" w:rsidR="00167E64" w:rsidRPr="00BA4FFC" w:rsidRDefault="00BA4FFC" w:rsidP="00BA4FFC">
      <w:pPr>
        <w:pStyle w:val="a3"/>
        <w:numPr>
          <w:ilvl w:val="1"/>
          <w:numId w:val="2"/>
        </w:num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</w:t>
      </w:r>
      <w:r w:rsidR="0003221C" w:rsidRPr="00BA4FFC">
        <w:rPr>
          <w:rFonts w:eastAsia="Times New Roman" w:cs="Times New Roman"/>
          <w:szCs w:val="28"/>
          <w:lang w:eastAsia="ru-RU"/>
        </w:rPr>
        <w:t>Финансирование иностранного покупателя:</w:t>
      </w: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2021"/>
      </w:tblGrid>
      <w:tr w:rsidR="0003221C" w:rsidRPr="0003221C" w14:paraId="7C4B0CAD" w14:textId="77777777" w:rsidTr="00DA13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FA8C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Цель финансирования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BCBA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Оплата по экспортному контракту.</w:t>
            </w:r>
          </w:p>
        </w:tc>
      </w:tr>
      <w:tr w:rsidR="0003221C" w:rsidRPr="0003221C" w14:paraId="0156A232" w14:textId="77777777" w:rsidTr="00DA13C2">
        <w:trPr>
          <w:trHeight w:val="87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3245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Сумма финансирования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70C9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До 100% суммы инвойса (счета).</w:t>
            </w:r>
          </w:p>
        </w:tc>
      </w:tr>
      <w:tr w:rsidR="0003221C" w:rsidRPr="0003221C" w14:paraId="68969163" w14:textId="77777777" w:rsidTr="00DA13C2">
        <w:trPr>
          <w:trHeight w:val="12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FD1A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Источник погашения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BD57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Из собственных средств иностранного покупателя.</w:t>
            </w:r>
          </w:p>
        </w:tc>
      </w:tr>
      <w:tr w:rsidR="0003221C" w:rsidRPr="0003221C" w14:paraId="7279B748" w14:textId="77777777" w:rsidTr="00DA13C2">
        <w:trPr>
          <w:trHeight w:val="159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7A8C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Срок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492B" w14:textId="343279D1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Рассчитывается на основании оборачиваемости товара у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иностранного покупателя или от срока окупаемости проекта,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максимальный срок – до 10 лет.</w:t>
            </w:r>
          </w:p>
        </w:tc>
      </w:tr>
      <w:tr w:rsidR="0003221C" w:rsidRPr="0003221C" w14:paraId="4288F984" w14:textId="77777777" w:rsidTr="00DA13C2">
        <w:trPr>
          <w:trHeight w:val="279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3BFE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Экспортный контракт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C69" w14:textId="108BCE1E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Должен устанавливать действительные и неоспоримые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обязательства иностранного покупателя по оплате товара с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момента перехода права собственности. Доля российской</w:t>
            </w:r>
            <w:r w:rsidR="007D758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составляющей (стоимость сырья, материалов, комплектующих,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 и услуг, произведенных на территории Российской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Федерации) в общей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стоимости экспортного контракта – не менее</w:t>
            </w:r>
            <w:r w:rsidR="007D758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30 %.</w:t>
            </w:r>
          </w:p>
        </w:tc>
      </w:tr>
      <w:tr w:rsidR="0003221C" w:rsidRPr="0003221C" w14:paraId="2A6BBE9C" w14:textId="77777777" w:rsidTr="00DA13C2">
        <w:trPr>
          <w:trHeight w:val="188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20D6" w14:textId="3C9C9BCB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требования к</w:t>
            </w:r>
            <w:r w:rsid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заемщику для получения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6A16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Финансовое положение, позволяющее обсуживать долг в срок и в</w:t>
            </w: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полном объеме.</w:t>
            </w:r>
          </w:p>
        </w:tc>
      </w:tr>
      <w:tr w:rsidR="0003221C" w:rsidRPr="0003221C" w14:paraId="6EDA924B" w14:textId="77777777" w:rsidTr="00DA13C2">
        <w:trPr>
          <w:trHeight w:val="8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40D1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Обеспечение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32BE" w14:textId="77777777" w:rsidR="0003221C" w:rsidRPr="0003221C" w:rsidRDefault="0003221C" w:rsidP="0003221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21C">
              <w:rPr>
                <w:rFonts w:eastAsia="Times New Roman" w:cs="Times New Roman"/>
                <w:color w:val="000000"/>
                <w:szCs w:val="28"/>
                <w:lang w:eastAsia="ru-RU"/>
              </w:rPr>
              <w:t>Страхование кредита в АО «ЭКСАР».</w:t>
            </w:r>
          </w:p>
        </w:tc>
      </w:tr>
    </w:tbl>
    <w:p w14:paraId="42BC89DE" w14:textId="30911FD3" w:rsidR="004231D8" w:rsidRPr="004231D8" w:rsidRDefault="00BA4FFC" w:rsidP="004231D8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</w:t>
      </w:r>
      <w:r w:rsidRPr="00BA4FFC">
        <w:rPr>
          <w:rFonts w:eastAsia="Times New Roman" w:cs="Times New Roman"/>
          <w:szCs w:val="28"/>
          <w:lang w:eastAsia="ru-RU"/>
        </w:rPr>
        <w:t>Экспортный факторинг</w:t>
      </w:r>
      <w:r w:rsidR="004231D8">
        <w:rPr>
          <w:rFonts w:eastAsia="Times New Roman" w:cs="Times New Roman"/>
          <w:szCs w:val="28"/>
          <w:lang w:eastAsia="ru-RU"/>
        </w:rPr>
        <w:t xml:space="preserve"> – </w:t>
      </w:r>
      <w:r w:rsidR="004231D8" w:rsidRPr="004231D8">
        <w:rPr>
          <w:rFonts w:eastAsia="Times New Roman" w:cs="Times New Roman"/>
          <w:szCs w:val="28"/>
          <w:lang w:eastAsia="ru-RU"/>
        </w:rPr>
        <w:t>краткосрочный инструмент, работает при отсрочках не более 12 месяцев, возможна уступка только непросроченной дебиторской задолженности, даже в случае принятия фактором обязательств по взысканию будущей выручки, не снимает с экспортера ответственности за репатриацию валютной выручки. Фактору уступается вся будущая выручка по контракту, даже та, которая не финансируется.</w:t>
      </w:r>
      <w:r w:rsidR="004231D8" w:rsidRPr="004231D8">
        <w:rPr>
          <w:rFonts w:eastAsia="Times New Roman" w:cs="Times New Roman"/>
          <w:szCs w:val="28"/>
          <w:lang w:eastAsia="ru-RU"/>
        </w:rPr>
        <w:tab/>
        <w:t xml:space="preserve"> </w:t>
      </w:r>
      <w:r w:rsidR="004231D8" w:rsidRPr="004231D8">
        <w:rPr>
          <w:rFonts w:eastAsia="Times New Roman" w:cs="Times New Roman"/>
          <w:szCs w:val="28"/>
          <w:lang w:eastAsia="ru-RU"/>
        </w:rPr>
        <w:br/>
        <w:t>При факторинге происходит уступка дебиторской задолженности – экспортер получает деньги сразу, а фактор (банк или компания) получает оплату от иностранного покупателя по окончании отсрочки, прописанной в экспортном контракте.</w:t>
      </w:r>
      <w:r w:rsidR="004231D8">
        <w:rPr>
          <w:rFonts w:eastAsia="Times New Roman" w:cs="Times New Roman"/>
          <w:szCs w:val="28"/>
          <w:lang w:eastAsia="ru-RU"/>
        </w:rPr>
        <w:tab/>
      </w:r>
      <w:r w:rsidR="004231D8" w:rsidRPr="004231D8">
        <w:rPr>
          <w:rFonts w:eastAsia="Times New Roman" w:cs="Times New Roman"/>
          <w:szCs w:val="28"/>
          <w:lang w:eastAsia="ru-RU"/>
        </w:rPr>
        <w:br/>
      </w:r>
      <w:r w:rsidR="004231D8" w:rsidRPr="004231D8">
        <w:rPr>
          <w:rFonts w:eastAsia="Times New Roman" w:cs="Times New Roman"/>
          <w:color w:val="000000"/>
          <w:szCs w:val="28"/>
          <w:lang w:eastAsia="ru-RU"/>
        </w:rPr>
        <w:t>Типовые условия экспортного факторинга:</w:t>
      </w: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049"/>
      </w:tblGrid>
      <w:tr w:rsidR="004231D8" w:rsidRPr="004231D8" w14:paraId="18952F7F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EE20" w14:textId="4C0E1A85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Должник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31B8" w14:textId="77777777" w:rsidR="004231D8" w:rsidRPr="004231D8" w:rsidRDefault="004231D8" w:rsidP="004231D8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Иностранный покупатель</w:t>
            </w:r>
          </w:p>
        </w:tc>
      </w:tr>
      <w:tr w:rsidR="004231D8" w:rsidRPr="004231D8" w14:paraId="64DA7871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D1D6" w14:textId="350E8216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Цель фи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нанс</w:t>
            </w: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ирования: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C926" w14:textId="77777777" w:rsidR="004231D8" w:rsidRPr="004231D8" w:rsidRDefault="004231D8" w:rsidP="004231D8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Финансирование дебиторской задолженности по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экспортному контракту</w:t>
            </w:r>
          </w:p>
        </w:tc>
      </w:tr>
      <w:tr w:rsidR="004231D8" w:rsidRPr="004231D8" w14:paraId="5A28C554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6563" w14:textId="77777777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Сумма финансирования: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54BD" w14:textId="77777777" w:rsidR="004231D8" w:rsidRPr="004231D8" w:rsidRDefault="004231D8" w:rsidP="004231D8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До 100% планируемой дебиторской задолженности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иностранного покупателя</w:t>
            </w:r>
          </w:p>
        </w:tc>
      </w:tr>
      <w:tr w:rsidR="004231D8" w:rsidRPr="004231D8" w14:paraId="713BC677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0C38" w14:textId="77777777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Источник погашения: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9EFB" w14:textId="77777777" w:rsidR="004231D8" w:rsidRPr="004231D8" w:rsidRDefault="004231D8" w:rsidP="004231D8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Оплата по экспортному контракту в пользу финансирующего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банка ( финансового агента)</w:t>
            </w:r>
          </w:p>
        </w:tc>
      </w:tr>
      <w:tr w:rsidR="004231D8" w:rsidRPr="004231D8" w14:paraId="359322D9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9CC2" w14:textId="1EB37BB8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Срок: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D3B" w14:textId="669E13AA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Соответствует срокам оплаты по экспортному контракту</w:t>
            </w:r>
          </w:p>
        </w:tc>
      </w:tr>
      <w:tr w:rsidR="004231D8" w:rsidRPr="004231D8" w14:paraId="77442306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854" w14:textId="0C00A76D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Экспортный контракт: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D15" w14:textId="5991C3C6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Должен устанавливать действительные и неоспоримые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обязательства иностранного покупателя по оплате товара с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момента перехода права собственности и возможности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уступки прав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требований на получение выручки по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контракту. Доля российской составляющей (стоимость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сырья, материалов, комплектующих, работ и услуг,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произведенных на территории Российской Федерации) в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общей стоимости экспортного контракта – не менее 30 %.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Должен быть поставлен на учет в банке-факторе</w:t>
            </w:r>
            <w:r w:rsidR="0091038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4231D8" w:rsidRPr="004231D8" w14:paraId="68EEDE6B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455B" w14:textId="3DBDCFD9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Основные требования к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должнику для получения</w:t>
            </w: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  <w:t>финансирования: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D90" w14:textId="1FFA64E4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Юридическое лицо – нерезидент, к которому экспортер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имеет денежное требование</w:t>
            </w:r>
          </w:p>
        </w:tc>
      </w:tr>
      <w:tr w:rsidR="004231D8" w:rsidRPr="004231D8" w14:paraId="6D5D624B" w14:textId="77777777" w:rsidTr="00DA13C2">
        <w:trPr>
          <w:trHeight w:val="5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208" w14:textId="3290CE29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Обеспечение: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A09" w14:textId="7841B88F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Поручительство, гарантии, иные виды обеспечения</w:t>
            </w:r>
          </w:p>
        </w:tc>
      </w:tr>
      <w:tr w:rsidR="004231D8" w:rsidRPr="004231D8" w14:paraId="0EB652B7" w14:textId="77777777" w:rsidTr="00DA13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6C5" w14:textId="038FE325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Страхование: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13A" w14:textId="4209A4F2" w:rsidR="004231D8" w:rsidRPr="004231D8" w:rsidRDefault="004231D8" w:rsidP="004231D8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t>Страхование риска неплатежа иностранного покупателя в</w:t>
            </w:r>
            <w:r w:rsidRPr="004231D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АО «ЭКСАР».</w:t>
            </w:r>
          </w:p>
        </w:tc>
      </w:tr>
    </w:tbl>
    <w:p w14:paraId="7F0A5A6A" w14:textId="7CDBF1BA" w:rsidR="004231D8" w:rsidRPr="004231D8" w:rsidRDefault="004231D8" w:rsidP="004231D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A0FD964" w14:textId="77777777" w:rsidR="0054641C" w:rsidRPr="0054641C" w:rsidRDefault="004231D8" w:rsidP="0054641C">
      <w:pPr>
        <w:pStyle w:val="a3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7C2CD9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Гарантийная поддержка</w:t>
      </w:r>
      <w:r w:rsidR="0054641C" w:rsidRPr="007C2CD9">
        <w:rPr>
          <w:rFonts w:eastAsia="Times New Roman" w:cs="Times New Roman"/>
          <w:b/>
          <w:bCs/>
          <w:szCs w:val="28"/>
          <w:u w:val="single"/>
          <w:lang w:eastAsia="ru-RU"/>
        </w:rPr>
        <w:t>.</w:t>
      </w:r>
      <w:r w:rsidR="0054641C" w:rsidRPr="0054641C">
        <w:rPr>
          <w:rFonts w:eastAsia="Times New Roman" w:cs="Times New Roman"/>
          <w:szCs w:val="28"/>
          <w:lang w:eastAsia="ru-RU"/>
        </w:rPr>
        <w:t xml:space="preserve"> </w:t>
      </w:r>
      <w:r w:rsidR="0054641C" w:rsidRPr="007C2CD9">
        <w:rPr>
          <w:rFonts w:eastAsia="Times New Roman" w:cs="Times New Roman"/>
          <w:color w:val="000000"/>
          <w:szCs w:val="32"/>
          <w:lang w:eastAsia="ru-RU"/>
        </w:rPr>
        <w:t>Базовые условия получения гарантии Группы РЭЦ:</w:t>
      </w: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12021"/>
      </w:tblGrid>
      <w:tr w:rsidR="0054641C" w:rsidRPr="0054641C" w14:paraId="5B348255" w14:textId="77777777" w:rsidTr="00DA13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8EB1" w14:textId="77777777" w:rsidR="0054641C" w:rsidRPr="0054641C" w:rsidRDefault="0054641C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гарантии: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1370" w14:textId="77777777" w:rsidR="0054641C" w:rsidRPr="0054641C" w:rsidRDefault="0054641C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Определяется в зависимости от требований контракта,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тендера.</w:t>
            </w:r>
          </w:p>
        </w:tc>
      </w:tr>
      <w:tr w:rsidR="0054641C" w:rsidRPr="0054641C" w14:paraId="1B4C4FC6" w14:textId="77777777" w:rsidTr="00DA13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DE22" w14:textId="77777777" w:rsidR="0054641C" w:rsidRPr="0054641C" w:rsidRDefault="0054641C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Валюта гарантии: 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7D5E" w14:textId="77777777" w:rsidR="0054641C" w:rsidRPr="0054641C" w:rsidRDefault="0054641C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Российский рубль (RUB) или валюта экспортного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контракта.</w:t>
            </w:r>
          </w:p>
        </w:tc>
      </w:tr>
      <w:tr w:rsidR="0054641C" w:rsidRPr="0054641C" w14:paraId="230D179A" w14:textId="77777777" w:rsidTr="00DA13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237D" w14:textId="77777777" w:rsidR="0054641C" w:rsidRPr="0054641C" w:rsidRDefault="0054641C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Срок гарантии: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53F7" w14:textId="77777777" w:rsidR="0054641C" w:rsidRPr="0054641C" w:rsidRDefault="0054641C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В соответствии со сроками, определяемыми на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основании требований в платежной статье контракта,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тендера.</w:t>
            </w:r>
          </w:p>
        </w:tc>
      </w:tr>
      <w:tr w:rsidR="0054641C" w:rsidRPr="0054641C" w14:paraId="01545FD9" w14:textId="77777777" w:rsidTr="00DA13C2">
        <w:trPr>
          <w:trHeight w:val="488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45F0" w14:textId="77777777" w:rsidR="0054641C" w:rsidRPr="0054641C" w:rsidRDefault="0054641C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Обеспечение по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гарантии:</w:t>
            </w:r>
          </w:p>
        </w:tc>
        <w:tc>
          <w:tcPr>
            <w:tcW w:w="1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C724" w14:textId="787EA4EC" w:rsidR="0054641C" w:rsidRDefault="0054641C" w:rsidP="0054641C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Без обеспечения:</w:t>
            </w:r>
            <w:r w:rsidRPr="0054641C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br/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- для принципалов, чье финансовое положение</w:t>
            </w:r>
            <w:r w:rsidR="00E1429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оценено как «хорошее», и банк уверен в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платежеспособности клиента.</w:t>
            </w:r>
          </w:p>
          <w:p w14:paraId="243ADD9C" w14:textId="3A51800A" w:rsidR="007C2CD9" w:rsidRPr="0054641C" w:rsidRDefault="007C2CD9" w:rsidP="0054641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4641C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С предоставлением дополнительного обеспечения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, в</w:t>
            </w:r>
            <w:r w:rsidR="00E1429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качестве которого могут быть рассмотрены: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- векселя, денежные средства, размещенные в АО</w:t>
            </w:r>
            <w:r w:rsidR="00E1429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РОСЭКСИМБАНК</w:t>
            </w:r>
            <w:r w:rsidR="00E1429B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t>;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- поручительство физических лиц, например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учредителей;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- поручительство юридических лиц;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- иной вид обеспечения;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- для гарантий возмещения НДС предприятиям,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относящимся к сегменту некрупных экспортеров, –</w:t>
            </w:r>
            <w:r w:rsidRPr="0054641C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только поручительство владельцев предприятия.</w:t>
            </w:r>
          </w:p>
        </w:tc>
      </w:tr>
    </w:tbl>
    <w:p w14:paraId="396645B8" w14:textId="77777777" w:rsidR="00A9491C" w:rsidRDefault="007C2CD9" w:rsidP="007C2CD9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7C2CD9">
        <w:rPr>
          <w:rFonts w:eastAsia="Times New Roman" w:cs="Times New Roman"/>
          <w:szCs w:val="28"/>
          <w:lang w:eastAsia="ru-RU"/>
        </w:rPr>
        <w:t>Тендерная гарантия</w:t>
      </w:r>
      <w:r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br/>
      </w:r>
      <w:r w:rsidRPr="007C2CD9">
        <w:rPr>
          <w:rFonts w:eastAsia="Times New Roman" w:cs="Times New Roman"/>
          <w:szCs w:val="28"/>
          <w:lang w:eastAsia="ru-RU"/>
        </w:rPr>
        <w:t>Тендерная гарантия, или гарантия участия в торгах,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2CD9">
        <w:rPr>
          <w:rFonts w:eastAsia="Times New Roman" w:cs="Times New Roman"/>
          <w:szCs w:val="28"/>
          <w:lang w:eastAsia="ru-RU"/>
        </w:rPr>
        <w:t>используется при проведении конкурсов, тендеров, торгов, в том числе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2CD9">
        <w:rPr>
          <w:rFonts w:eastAsia="Times New Roman" w:cs="Times New Roman"/>
          <w:szCs w:val="28"/>
          <w:lang w:eastAsia="ru-RU"/>
        </w:rPr>
        <w:t>международных.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2DB74CD8" w14:textId="4BDB5C07" w:rsidR="004231D8" w:rsidRDefault="007C2CD9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7C2CD9">
        <w:rPr>
          <w:rFonts w:eastAsia="Times New Roman" w:cs="Times New Roman"/>
          <w:szCs w:val="28"/>
          <w:lang w:eastAsia="ru-RU"/>
        </w:rPr>
        <w:t>Данное продуктовое предложение направлено на поддержку национальных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2CD9">
        <w:rPr>
          <w:rFonts w:eastAsia="Times New Roman" w:cs="Times New Roman"/>
          <w:szCs w:val="28"/>
          <w:lang w:eastAsia="ru-RU"/>
        </w:rPr>
        <w:t>экспортеров в части обеспечения их участия в конкурсах (торгах, аукционах),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2CD9">
        <w:rPr>
          <w:rFonts w:eastAsia="Times New Roman" w:cs="Times New Roman"/>
          <w:szCs w:val="28"/>
          <w:lang w:eastAsia="ru-RU"/>
        </w:rPr>
        <w:t>проводимых иностранными покупателями для целей заключения экспортных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2CD9">
        <w:rPr>
          <w:rFonts w:eastAsia="Times New Roman" w:cs="Times New Roman"/>
          <w:szCs w:val="28"/>
          <w:lang w:eastAsia="ru-RU"/>
        </w:rPr>
        <w:t>контрактов.</w:t>
      </w:r>
    </w:p>
    <w:p w14:paraId="3B6A0B2A" w14:textId="77777777" w:rsidR="00A9491C" w:rsidRDefault="00A9491C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14:paraId="516E8506" w14:textId="77777777" w:rsidR="00A9491C" w:rsidRDefault="00A9491C" w:rsidP="007C2CD9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Гарантия платежа.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br/>
      </w:r>
      <w:r w:rsidRPr="00A9491C">
        <w:rPr>
          <w:rFonts w:eastAsia="Times New Roman" w:cs="Times New Roman"/>
          <w:szCs w:val="28"/>
          <w:lang w:eastAsia="ru-RU"/>
        </w:rPr>
        <w:t>Продуктовое предложение связано с обеспечением платежных обязательств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экспортера (принципала) перед субподрядчиком (бенефициаром) по договору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поставки товаров, оказания услуг, выполнения работ, заключение которого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обусловлено исполнением экспортного контракта. Поставляемые товары,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оказываемые услуги, выполняемые работы должны использоваться исключительно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для реализации экспортного контракта экспортера (принципала).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49CC0F97" w14:textId="5047E203" w:rsidR="00A9491C" w:rsidRDefault="00A9491C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A9491C">
        <w:rPr>
          <w:rFonts w:eastAsia="Times New Roman" w:cs="Times New Roman"/>
          <w:szCs w:val="28"/>
          <w:lang w:eastAsia="ru-RU"/>
        </w:rPr>
        <w:t xml:space="preserve">Платежная </w:t>
      </w:r>
      <w:r w:rsidR="00643556" w:rsidRPr="00A9491C">
        <w:rPr>
          <w:rFonts w:eastAsia="Times New Roman" w:cs="Times New Roman"/>
          <w:szCs w:val="28"/>
          <w:lang w:eastAsia="ru-RU"/>
        </w:rPr>
        <w:t>гарантия обычно</w:t>
      </w:r>
      <w:r w:rsidRPr="00A9491C">
        <w:rPr>
          <w:rFonts w:eastAsia="Times New Roman" w:cs="Times New Roman"/>
          <w:szCs w:val="28"/>
          <w:lang w:eastAsia="ru-RU"/>
        </w:rPr>
        <w:t xml:space="preserve"> используется как обеспечение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платежного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обязательства любого типа, в том числе по оплате товаров, работ, услуг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с рассрочкой платежа, по оплате займов и кредитов и т.д. То есть основная функция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платежной гарантии – обеспечение платежа в соответствии с заключенными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договорами и контрактами.</w:t>
      </w:r>
    </w:p>
    <w:p w14:paraId="35394EA0" w14:textId="77777777" w:rsidR="00A9491C" w:rsidRDefault="00A9491C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14:paraId="3A618FED" w14:textId="77777777" w:rsidR="00A9491C" w:rsidRDefault="00A9491C" w:rsidP="00A9491C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Гарантия возврата авансового платежа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ab/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A9491C">
        <w:rPr>
          <w:rFonts w:eastAsia="Times New Roman" w:cs="Times New Roman"/>
          <w:szCs w:val="28"/>
          <w:lang w:eastAsia="ru-RU"/>
        </w:rPr>
        <w:t>Гарантия возврата аванса выдается банком 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поручению экспортера товаров или услуг либо другого подрядчика (принципала),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который в соответствии с условиями основного контракта получает аванс на часть или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полную стоимость сделки.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6924BEFB" w14:textId="238D8122" w:rsidR="00A9491C" w:rsidRDefault="00A9491C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A9491C">
        <w:rPr>
          <w:rFonts w:eastAsia="Times New Roman" w:cs="Times New Roman"/>
          <w:szCs w:val="28"/>
          <w:lang w:eastAsia="ru-RU"/>
        </w:rPr>
        <w:t>Содержанием данной гарантии является обязательство банка по возврату суммы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аванса в случае невыполнения экспортером (подрядчиком) своих обязательств 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поставке товаров (проведению работ), установленных контрактом</w:t>
      </w:r>
    </w:p>
    <w:p w14:paraId="069FAE4D" w14:textId="36EE753F" w:rsidR="00A9491C" w:rsidRDefault="00A9491C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14:paraId="4805CE5B" w14:textId="77777777" w:rsidR="00A9491C" w:rsidRDefault="00A9491C" w:rsidP="00A9491C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Гарантия надлежащего исполнения обязательств по экспортному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контракту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14:paraId="6A902B14" w14:textId="77777777" w:rsidR="00A9491C" w:rsidRDefault="00A9491C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A9491C">
        <w:rPr>
          <w:rFonts w:eastAsia="Times New Roman" w:cs="Times New Roman"/>
          <w:szCs w:val="28"/>
          <w:lang w:eastAsia="ru-RU"/>
        </w:rPr>
        <w:t>Гарантия надлежащего исполнения контракта, или гарантия исполнения, которая выставляется банком 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поручению экспортера в пользу импортера в обеспечение надлежащего исполнения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 xml:space="preserve">условий контракта со стороны экспортера. </w:t>
      </w:r>
    </w:p>
    <w:p w14:paraId="7514D158" w14:textId="15A624D2" w:rsidR="00A9491C" w:rsidRDefault="00A9491C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A9491C">
        <w:rPr>
          <w:rFonts w:eastAsia="Times New Roman" w:cs="Times New Roman"/>
          <w:szCs w:val="28"/>
          <w:lang w:eastAsia="ru-RU"/>
        </w:rPr>
        <w:t>Содержанием гарантии является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обязательство банка выплатить определенные гарантийные суммы при неисполнении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491C">
        <w:rPr>
          <w:rFonts w:eastAsia="Times New Roman" w:cs="Times New Roman"/>
          <w:szCs w:val="28"/>
          <w:lang w:eastAsia="ru-RU"/>
        </w:rPr>
        <w:t>или ненадлежащем исполнении принципалом условий сделки.</w:t>
      </w:r>
    </w:p>
    <w:p w14:paraId="21DF3F8B" w14:textId="0C957444" w:rsidR="008E2D85" w:rsidRDefault="008E2D85" w:rsidP="00A9491C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14:paraId="5C9A1417" w14:textId="61848590" w:rsidR="008E2D85" w:rsidRDefault="008E2D85" w:rsidP="008E2D85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8E2D85">
        <w:rPr>
          <w:rFonts w:eastAsia="Times New Roman" w:cs="Times New Roman"/>
          <w:szCs w:val="28"/>
          <w:lang w:eastAsia="ru-RU"/>
        </w:rPr>
        <w:t>Гарантия в пользу налоговых органов</w:t>
      </w:r>
      <w:r>
        <w:rPr>
          <w:rFonts w:eastAsia="Times New Roman" w:cs="Times New Roman"/>
          <w:szCs w:val="28"/>
          <w:lang w:eastAsia="ru-RU"/>
        </w:rPr>
        <w:t>.</w:t>
      </w:r>
    </w:p>
    <w:p w14:paraId="3404C17A" w14:textId="7F7C8EE7" w:rsidR="008E2D85" w:rsidRDefault="00610C83" w:rsidP="00610C83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610C83">
        <w:rPr>
          <w:rFonts w:eastAsia="Times New Roman" w:cs="Times New Roman"/>
          <w:szCs w:val="28"/>
          <w:lang w:eastAsia="ru-RU"/>
        </w:rPr>
        <w:t>Продуктовое предложение связано с обеспечением надлежащего исполнения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0C83">
        <w:rPr>
          <w:rFonts w:eastAsia="Times New Roman" w:cs="Times New Roman"/>
          <w:szCs w:val="28"/>
          <w:lang w:eastAsia="ru-RU"/>
        </w:rPr>
        <w:t>экспортером своих обязательств по возврату сумм налога, излишне зачтенных ему из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0C83">
        <w:rPr>
          <w:rFonts w:eastAsia="Times New Roman" w:cs="Times New Roman"/>
          <w:szCs w:val="28"/>
          <w:lang w:eastAsia="ru-RU"/>
        </w:rPr>
        <w:t>бюджета. Таким образом, экспортеру предоставляется возможность не изымать из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0C83">
        <w:rPr>
          <w:rFonts w:eastAsia="Times New Roman" w:cs="Times New Roman"/>
          <w:szCs w:val="28"/>
          <w:lang w:eastAsia="ru-RU"/>
        </w:rPr>
        <w:t>хозяйственного оборота денежные средства в виде НДС, подлежащие зачету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0C83">
        <w:rPr>
          <w:rFonts w:eastAsia="Times New Roman" w:cs="Times New Roman"/>
          <w:szCs w:val="28"/>
          <w:lang w:eastAsia="ru-RU"/>
        </w:rPr>
        <w:t>соответствии с действующим законодательством Российской Федерации.</w:t>
      </w:r>
    </w:p>
    <w:p w14:paraId="178DA9A6" w14:textId="0E0EC506" w:rsidR="00C656BA" w:rsidRDefault="00C656BA" w:rsidP="00610C83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14:paraId="67A939CA" w14:textId="77777777" w:rsidR="00E1429B" w:rsidRDefault="00E1429B" w:rsidP="00610C83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14:paraId="158297FA" w14:textId="6966A89E" w:rsidR="00E900B6" w:rsidRDefault="00E900B6" w:rsidP="00E900B6">
      <w:pPr>
        <w:pStyle w:val="a3"/>
        <w:numPr>
          <w:ilvl w:val="0"/>
          <w:numId w:val="2"/>
        </w:numPr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E900B6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Страховая поддержка.</w:t>
      </w:r>
      <w:r w:rsidRPr="00E900B6">
        <w:rPr>
          <w:rFonts w:eastAsia="Times New Roman" w:cs="Times New Roman"/>
          <w:szCs w:val="28"/>
          <w:lang w:eastAsia="ru-RU"/>
        </w:rPr>
        <w:t xml:space="preserve">  (Осуществляется за счет АО «ЭКСАР»</w:t>
      </w:r>
      <w:r>
        <w:rPr>
          <w:rFonts w:eastAsia="Times New Roman" w:cs="Times New Roman"/>
          <w:szCs w:val="28"/>
          <w:lang w:eastAsia="ru-RU"/>
        </w:rPr>
        <w:t>)</w:t>
      </w:r>
    </w:p>
    <w:p w14:paraId="5DE7E2C9" w14:textId="77777777" w:rsidR="00E900B6" w:rsidRDefault="00E900B6" w:rsidP="00E900B6">
      <w:pPr>
        <w:pStyle w:val="a3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14:paraId="1E1877A8" w14:textId="225FA0FF" w:rsidR="00C31405" w:rsidRPr="00E900B6" w:rsidRDefault="00E900B6" w:rsidP="00E900B6">
      <w:pPr>
        <w:pStyle w:val="a3"/>
        <w:numPr>
          <w:ilvl w:val="1"/>
          <w:numId w:val="2"/>
        </w:numPr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Страхование кредита поставщика</w:t>
      </w:r>
      <w:r>
        <w:rPr>
          <w:rFonts w:eastAsia="Times New Roman" w:cs="Times New Roman"/>
          <w:szCs w:val="28"/>
          <w:lang w:eastAsia="ru-RU"/>
        </w:rPr>
        <w:t>.</w:t>
      </w:r>
    </w:p>
    <w:p w14:paraId="149A1602" w14:textId="77777777" w:rsidR="00F609DD" w:rsidRDefault="00E900B6" w:rsidP="00F609DD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E900B6">
        <w:rPr>
          <w:rFonts w:eastAsia="Times New Roman" w:cs="Times New Roman"/>
          <w:szCs w:val="28"/>
          <w:lang w:eastAsia="ru-RU"/>
        </w:rPr>
        <w:t>При страховании кредита поставщика ключевой спецификой является то, что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страховое покрытие распространяется на отдельные поставки, осуществляемые по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экспортному контракту на условиях отсрочки платежа.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Объектом страхования по договору является отдельный экспортный контракт.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</w:p>
    <w:p w14:paraId="38126897" w14:textId="77777777" w:rsidR="00614B80" w:rsidRDefault="00E900B6" w:rsidP="00F609DD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E900B6">
        <w:rPr>
          <w:rFonts w:eastAsia="Times New Roman" w:cs="Times New Roman"/>
          <w:szCs w:val="28"/>
          <w:lang w:eastAsia="ru-RU"/>
        </w:rPr>
        <w:t>Страхователем выступает сам поставщик/производитель товаров/работ/услуг, а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выгодоприобретателем может выступать банк, предоставляющий финансирование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экспортеру.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Период страхования по договору страхования соответствует периоду действия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экспортного договора.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На ставку страховой премии влияет кредитное качество иностранного контрагента,</w:t>
      </w:r>
      <w:r w:rsidR="00F609DD">
        <w:rPr>
          <w:rFonts w:eastAsia="Times New Roman" w:cs="Times New Roman"/>
          <w:szCs w:val="28"/>
          <w:lang w:eastAsia="ru-RU"/>
        </w:rPr>
        <w:t xml:space="preserve"> </w:t>
      </w:r>
      <w:r w:rsidRPr="00E900B6">
        <w:rPr>
          <w:rFonts w:eastAsia="Times New Roman" w:cs="Times New Roman"/>
          <w:szCs w:val="28"/>
          <w:lang w:eastAsia="ru-RU"/>
        </w:rPr>
        <w:t>страна, в которой зарегистрирован плательщик, а также длина периода риска.</w:t>
      </w:r>
      <w:r w:rsidR="00614B80">
        <w:rPr>
          <w:rFonts w:eastAsia="Times New Roman" w:cs="Times New Roman"/>
          <w:szCs w:val="28"/>
          <w:lang w:eastAsia="ru-RU"/>
        </w:rPr>
        <w:t xml:space="preserve"> </w:t>
      </w:r>
    </w:p>
    <w:p w14:paraId="49B02A2E" w14:textId="2E476A89" w:rsidR="00E900B6" w:rsidRDefault="00614B80" w:rsidP="00F609DD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614B80">
        <w:rPr>
          <w:rFonts w:eastAsia="Times New Roman" w:cs="Times New Roman"/>
          <w:szCs w:val="28"/>
          <w:lang w:eastAsia="ru-RU"/>
        </w:rPr>
        <w:t>Страховое покрытие: по данному страховому продукту может быть покрыто до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4B80">
        <w:rPr>
          <w:rFonts w:eastAsia="Times New Roman" w:cs="Times New Roman"/>
          <w:szCs w:val="28"/>
          <w:lang w:eastAsia="ru-RU"/>
        </w:rPr>
        <w:t>90% по коммерческим рискам и до 95% по политическим рискам.</w:t>
      </w:r>
    </w:p>
    <w:p w14:paraId="04CEC3FE" w14:textId="0B419FEC" w:rsidR="00F75A1F" w:rsidRDefault="00F75A1F" w:rsidP="00F609DD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14:paraId="6FA0E07F" w14:textId="3B9BDCAE" w:rsidR="00F75A1F" w:rsidRDefault="00F75A1F" w:rsidP="00F75A1F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F75A1F">
        <w:rPr>
          <w:rFonts w:eastAsia="Times New Roman" w:cs="Times New Roman"/>
          <w:szCs w:val="28"/>
          <w:lang w:eastAsia="ru-RU"/>
        </w:rPr>
        <w:t>Страхование краткосрочной дебиторской задолженности.</w:t>
      </w:r>
    </w:p>
    <w:p w14:paraId="656DE603" w14:textId="2F26E67D" w:rsidR="003F0E7B" w:rsidRPr="00F75A1F" w:rsidRDefault="003F0E7B" w:rsidP="003F0E7B">
      <w:pPr>
        <w:pStyle w:val="a3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F0E7B">
        <w:rPr>
          <w:rFonts w:eastAsia="Times New Roman" w:cs="Times New Roman"/>
          <w:szCs w:val="28"/>
          <w:lang w:eastAsia="ru-RU"/>
        </w:rPr>
        <w:t>Страхование краткосрочной дебиторской задолженности предназначено для защиты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российских компаний от риска неплатежа иностранных покупателей. Страховое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покрытие распространяется на регулярные поставки однородных товаров,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осуществляемые на условиях отсрочки платежа (длительностью не более 365 дней)</w:t>
      </w:r>
      <w:r w:rsidRPr="003F0E7B">
        <w:rPr>
          <w:rFonts w:eastAsia="Times New Roman" w:cs="Times New Roman"/>
          <w:szCs w:val="28"/>
          <w:lang w:eastAsia="ru-RU"/>
        </w:rPr>
        <w:br/>
        <w:t>постоянным покупателям за рубежом.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Объектом страхования по договору является весь портфель экспортных контрактов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поставщика с отсрочкой платежа.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Страхователем выступает сам поставщик/производитель товаров/работ/услуг, 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выгодоприобретателем может выступать банк, предоставляющий финансирование</w:t>
      </w:r>
      <w:r w:rsidRPr="003F0E7B">
        <w:rPr>
          <w:rFonts w:eastAsia="Times New Roman" w:cs="Times New Roman"/>
          <w:szCs w:val="28"/>
          <w:lang w:eastAsia="ru-RU"/>
        </w:rPr>
        <w:br/>
        <w:t>экспортеру. Договор страхования заключается на 1 год.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Страхованию подлежат как предпринимательские, так и политические риски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неисполнения обязательств иностранным покупателем, застраховано может быть до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0E7B">
        <w:rPr>
          <w:rFonts w:eastAsia="Times New Roman" w:cs="Times New Roman"/>
          <w:szCs w:val="28"/>
          <w:lang w:eastAsia="ru-RU"/>
        </w:rPr>
        <w:t>90% коммерческих и политических рисков.</w:t>
      </w:r>
    </w:p>
    <w:sectPr w:rsidR="003F0E7B" w:rsidRPr="00F75A1F" w:rsidSect="004231D8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FC1"/>
    <w:multiLevelType w:val="multilevel"/>
    <w:tmpl w:val="9D8A6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EB3D4E"/>
    <w:multiLevelType w:val="hybridMultilevel"/>
    <w:tmpl w:val="E7846DF4"/>
    <w:lvl w:ilvl="0" w:tplc="AF4C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148B1"/>
    <w:multiLevelType w:val="hybridMultilevel"/>
    <w:tmpl w:val="D932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387D"/>
    <w:multiLevelType w:val="multilevel"/>
    <w:tmpl w:val="6F8CE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BE6031E"/>
    <w:multiLevelType w:val="multilevel"/>
    <w:tmpl w:val="6F8CE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7A321BF"/>
    <w:multiLevelType w:val="multilevel"/>
    <w:tmpl w:val="9D8A6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17"/>
    <w:rsid w:val="0003221C"/>
    <w:rsid w:val="00167E64"/>
    <w:rsid w:val="003F0E7B"/>
    <w:rsid w:val="004231D8"/>
    <w:rsid w:val="004A68E9"/>
    <w:rsid w:val="0054641C"/>
    <w:rsid w:val="00582584"/>
    <w:rsid w:val="00606152"/>
    <w:rsid w:val="00610C83"/>
    <w:rsid w:val="00614B80"/>
    <w:rsid w:val="00643556"/>
    <w:rsid w:val="006C0B77"/>
    <w:rsid w:val="007C2CD9"/>
    <w:rsid w:val="007D7582"/>
    <w:rsid w:val="008242FF"/>
    <w:rsid w:val="00870751"/>
    <w:rsid w:val="008E2D85"/>
    <w:rsid w:val="00910384"/>
    <w:rsid w:val="00922C48"/>
    <w:rsid w:val="00A9491C"/>
    <w:rsid w:val="00B65CDB"/>
    <w:rsid w:val="00B915B7"/>
    <w:rsid w:val="00BA4FFC"/>
    <w:rsid w:val="00C31405"/>
    <w:rsid w:val="00C656BA"/>
    <w:rsid w:val="00C75B07"/>
    <w:rsid w:val="00CA21D4"/>
    <w:rsid w:val="00DA13C2"/>
    <w:rsid w:val="00E1429B"/>
    <w:rsid w:val="00E900B6"/>
    <w:rsid w:val="00EA59DF"/>
    <w:rsid w:val="00EB78AA"/>
    <w:rsid w:val="00EE4070"/>
    <w:rsid w:val="00F12C76"/>
    <w:rsid w:val="00F609DD"/>
    <w:rsid w:val="00F75A1F"/>
    <w:rsid w:val="00FC5315"/>
    <w:rsid w:val="00F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2C64"/>
  <w15:chartTrackingRefBased/>
  <w15:docId w15:val="{2D22EDB5-5CC4-4D59-95FE-E52716F9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7E64"/>
    <w:rPr>
      <w:rFonts w:ascii="Arial-BoldMT" w:hAnsi="Arial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167E64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167E64"/>
    <w:pPr>
      <w:ind w:left="720"/>
      <w:contextualSpacing/>
    </w:pPr>
  </w:style>
  <w:style w:type="character" w:customStyle="1" w:styleId="fontstyle31">
    <w:name w:val="fontstyle31"/>
    <w:basedOn w:val="a0"/>
    <w:rsid w:val="0054641C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</cp:lastModifiedBy>
  <cp:revision>32</cp:revision>
  <dcterms:created xsi:type="dcterms:W3CDTF">2021-03-04T11:31:00Z</dcterms:created>
  <dcterms:modified xsi:type="dcterms:W3CDTF">2021-04-09T13:57:00Z</dcterms:modified>
</cp:coreProperties>
</file>